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FD" w:rsidRPr="00BD1AFD" w:rsidRDefault="00BD1AFD" w:rsidP="00BD1AFD">
      <w:pPr>
        <w:widowControl/>
        <w:shd w:val="clear" w:color="auto" w:fill="FFFFFF"/>
        <w:suppressAutoHyphens w:val="0"/>
        <w:jc w:val="center"/>
        <w:rPr>
          <w:color w:val="483B3F"/>
          <w:szCs w:val="24"/>
        </w:rPr>
      </w:pPr>
      <w:r w:rsidRPr="00BD1AFD">
        <w:rPr>
          <w:color w:val="483B3F"/>
          <w:szCs w:val="24"/>
        </w:rPr>
        <w:t>БЫЛО</w:t>
      </w:r>
    </w:p>
    <w:p w:rsidR="00BD1AFD" w:rsidRDefault="00BD1AFD" w:rsidP="00BD1AFD">
      <w:pPr>
        <w:widowControl/>
        <w:shd w:val="clear" w:color="auto" w:fill="FFFFFF"/>
        <w:suppressAutoHyphens w:val="0"/>
        <w:spacing w:after="150"/>
        <w:jc w:val="center"/>
        <w:rPr>
          <w:color w:val="483B3F"/>
          <w:szCs w:val="24"/>
        </w:rPr>
      </w:pPr>
      <w:r w:rsidRPr="00BD1AFD">
        <w:rPr>
          <w:b/>
          <w:bCs/>
          <w:noProof/>
          <w:color w:val="B90000"/>
          <w:szCs w:val="24"/>
        </w:rPr>
        <w:drawing>
          <wp:inline distT="0" distB="0" distL="0" distR="0">
            <wp:extent cx="2543175" cy="3535013"/>
            <wp:effectExtent l="19050" t="0" r="9525" b="0"/>
            <wp:docPr id="1" name="Рисунок 1" descr="Братская могила. Деревня Носовка">
              <a:hlinkClick xmlns:a="http://schemas.openxmlformats.org/drawingml/2006/main" r:id="rId4" tooltip="&quot;Братская могила. Деревня Носов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ская могила. Деревня Носовка">
                      <a:hlinkClick r:id="rId4" tooltip="&quot;Братская могила. Деревня Носовка&quot;"/>
                    </pic:cNvPr>
                    <pic:cNvPicPr>
                      <a:picLocks noChangeAspect="1" noChangeArrowheads="1"/>
                    </pic:cNvPicPr>
                  </pic:nvPicPr>
                  <pic:blipFill>
                    <a:blip r:embed="rId5" cstate="print"/>
                    <a:srcRect/>
                    <a:stretch>
                      <a:fillRect/>
                    </a:stretch>
                  </pic:blipFill>
                  <pic:spPr bwMode="auto">
                    <a:xfrm>
                      <a:off x="0" y="0"/>
                      <a:ext cx="2543175" cy="3535013"/>
                    </a:xfrm>
                    <a:prstGeom prst="rect">
                      <a:avLst/>
                    </a:prstGeom>
                    <a:noFill/>
                    <a:ln w="9525">
                      <a:noFill/>
                      <a:miter lim="800000"/>
                      <a:headEnd/>
                      <a:tailEnd/>
                    </a:ln>
                  </pic:spPr>
                </pic:pic>
              </a:graphicData>
            </a:graphic>
          </wp:inline>
        </w:drawing>
      </w:r>
    </w:p>
    <w:p w:rsidR="00BD1AFD" w:rsidRDefault="00BD1AFD" w:rsidP="00BD1AFD">
      <w:pPr>
        <w:widowControl/>
        <w:shd w:val="clear" w:color="auto" w:fill="FFFFFF"/>
        <w:suppressAutoHyphens w:val="0"/>
        <w:spacing w:after="150"/>
        <w:jc w:val="center"/>
        <w:rPr>
          <w:color w:val="483B3F"/>
          <w:szCs w:val="24"/>
        </w:rPr>
      </w:pPr>
      <w:r>
        <w:rPr>
          <w:color w:val="483B3F"/>
          <w:szCs w:val="24"/>
        </w:rPr>
        <w:t>СТАЛО</w:t>
      </w:r>
    </w:p>
    <w:p w:rsidR="00BD1AFD" w:rsidRPr="00BD1AFD" w:rsidRDefault="00BD1AFD" w:rsidP="00BD1AFD">
      <w:pPr>
        <w:widowControl/>
        <w:shd w:val="clear" w:color="auto" w:fill="FFFFFF"/>
        <w:suppressAutoHyphens w:val="0"/>
        <w:spacing w:after="150"/>
        <w:jc w:val="center"/>
        <w:rPr>
          <w:color w:val="483B3F"/>
          <w:szCs w:val="24"/>
        </w:rPr>
      </w:pPr>
      <w:r>
        <w:rPr>
          <w:noProof/>
          <w:color w:val="483B3F"/>
          <w:szCs w:val="24"/>
        </w:rPr>
        <w:drawing>
          <wp:inline distT="0" distB="0" distL="0" distR="0">
            <wp:extent cx="5940425" cy="4752340"/>
            <wp:effectExtent l="19050" t="0" r="3175" b="0"/>
            <wp:docPr id="5" name="Рисунок 5" descr="C:\Users\ignatovka\Desktop\н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gnatovka\Desktop\нос.jpg"/>
                    <pic:cNvPicPr>
                      <a:picLocks noChangeAspect="1" noChangeArrowheads="1"/>
                    </pic:cNvPicPr>
                  </pic:nvPicPr>
                  <pic:blipFill>
                    <a:blip r:embed="rId6"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BD1AFD" w:rsidRPr="00BD1AFD" w:rsidRDefault="00BD1AFD" w:rsidP="00BD1AFD">
      <w:pPr>
        <w:widowControl/>
        <w:shd w:val="clear" w:color="auto" w:fill="FFFFFF"/>
        <w:suppressAutoHyphens w:val="0"/>
        <w:spacing w:after="150"/>
        <w:jc w:val="center"/>
        <w:rPr>
          <w:color w:val="483B3F"/>
          <w:szCs w:val="24"/>
        </w:rPr>
      </w:pPr>
      <w:r w:rsidRPr="00BD1AFD">
        <w:rPr>
          <w:b/>
          <w:bCs/>
          <w:color w:val="483B3F"/>
          <w:szCs w:val="24"/>
        </w:rPr>
        <w:t>Братская могила. Деревня Носовка</w:t>
      </w:r>
    </w:p>
    <w:p w:rsidR="00BD1AFD" w:rsidRPr="00BD1AFD" w:rsidRDefault="00BD1AFD" w:rsidP="00BD1AFD">
      <w:pPr>
        <w:widowControl/>
        <w:shd w:val="clear" w:color="auto" w:fill="FFFFFF"/>
        <w:suppressAutoHyphens w:val="0"/>
        <w:spacing w:after="150"/>
        <w:jc w:val="both"/>
        <w:rPr>
          <w:color w:val="483B3F"/>
          <w:szCs w:val="24"/>
        </w:rPr>
      </w:pPr>
      <w:r w:rsidRPr="00BD1AFD">
        <w:rPr>
          <w:b/>
          <w:bCs/>
          <w:color w:val="483B3F"/>
          <w:szCs w:val="24"/>
        </w:rPr>
        <w:lastRenderedPageBreak/>
        <w:t>Место и дата захоронения</w:t>
      </w:r>
      <w:r w:rsidRPr="00BD1AFD">
        <w:rPr>
          <w:color w:val="483B3F"/>
          <w:szCs w:val="24"/>
        </w:rPr>
        <w:t>: Калужская</w:t>
      </w:r>
      <w:r>
        <w:rPr>
          <w:color w:val="483B3F"/>
          <w:szCs w:val="24"/>
        </w:rPr>
        <w:t xml:space="preserve"> область, Людиновский район, сельское поселение «Деревня </w:t>
      </w:r>
      <w:r w:rsidRPr="00BD1AFD">
        <w:rPr>
          <w:color w:val="483B3F"/>
          <w:szCs w:val="24"/>
        </w:rPr>
        <w:t>Игнатовка», д. Носовка. Захоронение производилось в 1977г.</w:t>
      </w:r>
    </w:p>
    <w:p w:rsidR="00BD1AFD" w:rsidRPr="00BD1AFD" w:rsidRDefault="00BD1AFD" w:rsidP="00BD1AFD">
      <w:pPr>
        <w:widowControl/>
        <w:shd w:val="clear" w:color="auto" w:fill="FFFFFF"/>
        <w:suppressAutoHyphens w:val="0"/>
        <w:spacing w:after="150"/>
        <w:jc w:val="both"/>
        <w:rPr>
          <w:color w:val="483B3F"/>
          <w:szCs w:val="24"/>
        </w:rPr>
      </w:pPr>
      <w:r w:rsidRPr="00BD1AFD">
        <w:rPr>
          <w:b/>
          <w:bCs/>
          <w:color w:val="483B3F"/>
          <w:szCs w:val="24"/>
        </w:rPr>
        <w:t>Вид захоронения</w:t>
      </w:r>
      <w:r w:rsidRPr="00BD1AFD">
        <w:rPr>
          <w:color w:val="483B3F"/>
          <w:szCs w:val="24"/>
        </w:rPr>
        <w:t>:  Братская могила</w:t>
      </w:r>
    </w:p>
    <w:p w:rsidR="00BD1AFD" w:rsidRPr="00BD1AFD" w:rsidRDefault="00BD1AFD" w:rsidP="00BD1AFD">
      <w:pPr>
        <w:widowControl/>
        <w:shd w:val="clear" w:color="auto" w:fill="FFFFFF"/>
        <w:suppressAutoHyphens w:val="0"/>
        <w:spacing w:after="150"/>
        <w:jc w:val="both"/>
        <w:rPr>
          <w:color w:val="483B3F"/>
          <w:szCs w:val="24"/>
        </w:rPr>
      </w:pPr>
      <w:r w:rsidRPr="00BD1AFD">
        <w:rPr>
          <w:b/>
          <w:bCs/>
          <w:color w:val="483B3F"/>
          <w:szCs w:val="24"/>
        </w:rPr>
        <w:t>Размеры захоронения</w:t>
      </w:r>
      <w:r w:rsidRPr="00BD1AFD">
        <w:rPr>
          <w:color w:val="483B3F"/>
          <w:szCs w:val="24"/>
        </w:rPr>
        <w:t>: Территория захоронения площадью 36  кв. м., могильный холм размером 5 м x2 м, кирпичный бордюр высотой 0,15 м., обелиск</w:t>
      </w:r>
      <w:r>
        <w:rPr>
          <w:color w:val="483B3F"/>
          <w:szCs w:val="24"/>
        </w:rPr>
        <w:t xml:space="preserve"> </w:t>
      </w:r>
      <w:r w:rsidRPr="00BD1AFD">
        <w:rPr>
          <w:color w:val="483B3F"/>
          <w:szCs w:val="24"/>
        </w:rPr>
        <w:t>высотой 3,5 м., кирпичный фундамент площадью 2,1 м x0,5 м, высотой  0,7 м. Три мраморные доски размером 1,3 м x0,7 м.</w:t>
      </w:r>
    </w:p>
    <w:p w:rsidR="00BD1AFD" w:rsidRDefault="00BD1AFD" w:rsidP="00BD1AFD">
      <w:pPr>
        <w:pStyle w:val="a3"/>
        <w:shd w:val="clear" w:color="auto" w:fill="FFFFFF"/>
        <w:spacing w:before="0" w:beforeAutospacing="0" w:after="0" w:afterAutospacing="0"/>
        <w:jc w:val="both"/>
        <w:rPr>
          <w:color w:val="483B3F"/>
        </w:rPr>
      </w:pPr>
      <w:r w:rsidRPr="00BD1AFD">
        <w:rPr>
          <w:b/>
          <w:bCs/>
          <w:color w:val="483B3F"/>
        </w:rPr>
        <w:t>Краткое описание памятника:</w:t>
      </w:r>
      <w:r w:rsidRPr="00BD1AFD">
        <w:rPr>
          <w:color w:val="483B3F"/>
        </w:rPr>
        <w:t xml:space="preserve"> На могильном холме, покрытом дерном и засаженном цветами, (надгробия) на захоронение обнесенном кирпичным бордюром, установлен обелиск, увенчанный пятиконечной звездой. К обелиску прикреплена табличка с надписью: «Вечная слава героям, павшим в боях за Родину». Справа от обелиска на кирпичном фундаменте стоят три мраморные мемориальные доски, на которых обозначены имена захороненных воинов. Могила обнесена металлической оградой. Вдоль её внешней стороны растут берёзы. Внутри ограды всё свободное пространство выложено тротуарной плиткой. Слева установлена скамейка. </w:t>
      </w:r>
    </w:p>
    <w:p w:rsidR="00BD1AFD" w:rsidRPr="00810B48" w:rsidRDefault="00BD1AFD" w:rsidP="00BD1AFD">
      <w:pPr>
        <w:pStyle w:val="a3"/>
        <w:shd w:val="clear" w:color="auto" w:fill="FFFFFF"/>
        <w:spacing w:before="0" w:beforeAutospacing="0" w:after="0" w:afterAutospacing="0"/>
        <w:jc w:val="both"/>
        <w:rPr>
          <w:color w:val="483B3F"/>
        </w:rPr>
      </w:pPr>
      <w:r>
        <w:rPr>
          <w:color w:val="483B3F"/>
        </w:rPr>
        <w:t xml:space="preserve">          </w:t>
      </w:r>
      <w:r w:rsidRPr="00810B48">
        <w:rPr>
          <w:color w:val="483B3F"/>
        </w:rPr>
        <w:t>В 2020 году были проведены</w:t>
      </w:r>
      <w:r>
        <w:rPr>
          <w:rFonts w:ascii="Arial" w:hAnsi="Arial" w:cs="Arial"/>
          <w:color w:val="483B3F"/>
          <w:sz w:val="23"/>
          <w:szCs w:val="23"/>
        </w:rPr>
        <w:t xml:space="preserve"> </w:t>
      </w:r>
      <w:r>
        <w:rPr>
          <w:color w:val="483B3F"/>
        </w:rPr>
        <w:t>р</w:t>
      </w:r>
      <w:r w:rsidRPr="00810B48">
        <w:rPr>
          <w:color w:val="483B3F"/>
        </w:rPr>
        <w:t>емонтные ра</w:t>
      </w:r>
      <w:r>
        <w:rPr>
          <w:color w:val="483B3F"/>
        </w:rPr>
        <w:t>боты по благоустройству данного воинского захоронения</w:t>
      </w:r>
      <w:r w:rsidRPr="00810B48">
        <w:rPr>
          <w:color w:val="483B3F"/>
        </w:rPr>
        <w:t xml:space="preserve"> в рамках Федеральной целевой программы «Увековечение памяти погибших при защите Отечеств</w:t>
      </w:r>
      <w:r>
        <w:rPr>
          <w:color w:val="483B3F"/>
        </w:rPr>
        <w:t>а на 2019-2024 годы».</w:t>
      </w:r>
    </w:p>
    <w:p w:rsidR="00BD1AFD" w:rsidRPr="00810B48" w:rsidRDefault="00BD1AFD" w:rsidP="00BD1AFD">
      <w:pPr>
        <w:pStyle w:val="a3"/>
        <w:shd w:val="clear" w:color="auto" w:fill="FFFFFF"/>
        <w:spacing w:before="0" w:beforeAutospacing="0" w:after="0" w:afterAutospacing="0"/>
        <w:jc w:val="both"/>
        <w:rPr>
          <w:color w:val="483B3F"/>
        </w:rPr>
      </w:pPr>
      <w:r>
        <w:rPr>
          <w:color w:val="483B3F"/>
        </w:rPr>
        <w:t xml:space="preserve">          Территория братской</w:t>
      </w:r>
      <w:r w:rsidRPr="00810B48">
        <w:rPr>
          <w:color w:val="483B3F"/>
        </w:rPr>
        <w:t xml:space="preserve"> могил</w:t>
      </w:r>
      <w:r>
        <w:rPr>
          <w:color w:val="483B3F"/>
        </w:rPr>
        <w:t>ы</w:t>
      </w:r>
      <w:r w:rsidRPr="00810B48">
        <w:rPr>
          <w:color w:val="483B3F"/>
        </w:rPr>
        <w:t xml:space="preserve"> выложена новой тротуарной плиткой, установлены скамейки, вазоны, мемориальные знаки, проведена замена металлических ограждений, реконструированы памятники, произведён спил деревьев и обрезка веток</w:t>
      </w:r>
      <w:r>
        <w:rPr>
          <w:color w:val="483B3F"/>
        </w:rPr>
        <w:t>.</w:t>
      </w:r>
    </w:p>
    <w:p w:rsidR="00BD1AFD" w:rsidRPr="00BD1AFD" w:rsidRDefault="00BD1AFD" w:rsidP="004E6785">
      <w:pPr>
        <w:pStyle w:val="a3"/>
        <w:shd w:val="clear" w:color="auto" w:fill="FFFFFF"/>
        <w:spacing w:before="0" w:beforeAutospacing="0" w:after="0" w:afterAutospacing="0"/>
        <w:jc w:val="both"/>
        <w:rPr>
          <w:color w:val="483B3F"/>
        </w:rPr>
      </w:pPr>
      <w:r w:rsidRPr="00810B48">
        <w:rPr>
          <w:color w:val="483B3F"/>
        </w:rPr>
        <w:t> Раб</w:t>
      </w:r>
      <w:r>
        <w:rPr>
          <w:color w:val="483B3F"/>
        </w:rPr>
        <w:t>оты по благоустройству были проведены</w:t>
      </w:r>
      <w:r w:rsidRPr="00810B48">
        <w:rPr>
          <w:color w:val="483B3F"/>
        </w:rPr>
        <w:t xml:space="preserve"> Обществом с ограниченной ответственностью «Ландшафтная мастерская «Преображение» (Генеральный директор: Ю. В. Гречко), имеющее лицензию Министерства культуры РФ на осуществление деятельности по сохранению объектов культурного наследия народов Российской Федерации.</w:t>
      </w:r>
    </w:p>
    <w:p w:rsidR="00BD1AFD" w:rsidRPr="00BD1AFD" w:rsidRDefault="00BD1AFD" w:rsidP="00BD1AFD">
      <w:pPr>
        <w:widowControl/>
        <w:shd w:val="clear" w:color="auto" w:fill="FFFFFF"/>
        <w:suppressAutoHyphens w:val="0"/>
        <w:jc w:val="both"/>
        <w:rPr>
          <w:color w:val="483B3F"/>
          <w:szCs w:val="24"/>
        </w:rPr>
      </w:pPr>
      <w:r w:rsidRPr="00BD1AFD">
        <w:rPr>
          <w:b/>
          <w:bCs/>
          <w:color w:val="483B3F"/>
          <w:szCs w:val="24"/>
        </w:rPr>
        <w:t>Количество захороненных</w:t>
      </w:r>
      <w:r w:rsidRPr="00BD1AFD">
        <w:rPr>
          <w:color w:val="483B3F"/>
          <w:szCs w:val="24"/>
        </w:rPr>
        <w:t>:</w:t>
      </w:r>
    </w:p>
    <w:tbl>
      <w:tblPr>
        <w:tblW w:w="105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99"/>
        <w:gridCol w:w="3881"/>
        <w:gridCol w:w="2369"/>
        <w:gridCol w:w="2851"/>
      </w:tblGrid>
      <w:tr w:rsidR="00BD1AFD" w:rsidRPr="00BD1AFD" w:rsidTr="00BD1AF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D1AFD" w:rsidRPr="00BD1AFD" w:rsidRDefault="00BD1AFD" w:rsidP="00BD1AFD">
            <w:pPr>
              <w:widowControl/>
              <w:suppressAutoHyphens w:val="0"/>
              <w:spacing w:after="150"/>
              <w:jc w:val="center"/>
              <w:rPr>
                <w:szCs w:val="24"/>
              </w:rPr>
            </w:pPr>
            <w:r w:rsidRPr="00BD1AFD">
              <w:rPr>
                <w:szCs w:val="24"/>
              </w:rPr>
              <w:t>Всего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D1AFD" w:rsidRPr="00BD1AFD" w:rsidRDefault="00BD1AFD" w:rsidP="00BD1AFD">
            <w:pPr>
              <w:widowControl/>
              <w:suppressAutoHyphens w:val="0"/>
              <w:spacing w:after="150"/>
              <w:rPr>
                <w:szCs w:val="24"/>
              </w:rPr>
            </w:pPr>
            <w:r w:rsidRPr="00BD1AFD">
              <w:rPr>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1AFD" w:rsidRPr="00BD1AFD" w:rsidRDefault="00BD1AFD" w:rsidP="00BD1AFD">
            <w:pPr>
              <w:widowControl/>
              <w:suppressAutoHyphens w:val="0"/>
              <w:spacing w:after="150"/>
              <w:jc w:val="center"/>
              <w:rPr>
                <w:szCs w:val="24"/>
              </w:rPr>
            </w:pPr>
            <w:r w:rsidRPr="00BD1AFD">
              <w:rPr>
                <w:szCs w:val="24"/>
              </w:rPr>
              <w:t>В том числе</w:t>
            </w:r>
          </w:p>
        </w:tc>
      </w:tr>
      <w:tr w:rsidR="00BD1AFD" w:rsidRPr="00BD1AFD" w:rsidTr="00BD1AF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D1AFD" w:rsidRPr="00BD1AFD" w:rsidRDefault="00BD1AFD" w:rsidP="00BD1AFD">
            <w:pPr>
              <w:widowControl/>
              <w:suppressAutoHyphens w:val="0"/>
              <w:rPr>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D1AFD" w:rsidRPr="00BD1AFD" w:rsidRDefault="00BD1AFD" w:rsidP="00BD1AFD">
            <w:pPr>
              <w:widowControl/>
              <w:suppressAutoHyphens w:val="0"/>
              <w:rPr>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D1AFD" w:rsidRPr="00BD1AFD" w:rsidRDefault="00BD1AFD" w:rsidP="00BD1AFD">
            <w:pPr>
              <w:widowControl/>
              <w:suppressAutoHyphens w:val="0"/>
              <w:spacing w:after="150"/>
              <w:jc w:val="center"/>
              <w:rPr>
                <w:szCs w:val="24"/>
              </w:rPr>
            </w:pPr>
            <w:r w:rsidRPr="00BD1AFD">
              <w:rPr>
                <w:szCs w:val="24"/>
              </w:rPr>
              <w:t>известных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D1AFD" w:rsidRPr="00BD1AFD" w:rsidRDefault="00BD1AFD" w:rsidP="00BD1AFD">
            <w:pPr>
              <w:widowControl/>
              <w:suppressAutoHyphens w:val="0"/>
              <w:spacing w:after="150"/>
              <w:jc w:val="center"/>
              <w:rPr>
                <w:szCs w:val="24"/>
              </w:rPr>
            </w:pPr>
            <w:r w:rsidRPr="00BD1AFD">
              <w:rPr>
                <w:szCs w:val="24"/>
              </w:rPr>
              <w:t>неизвестных</w:t>
            </w:r>
          </w:p>
        </w:tc>
      </w:tr>
      <w:tr w:rsidR="00BD1AFD" w:rsidRPr="00BD1AFD" w:rsidTr="00BD1AF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D1AFD" w:rsidRPr="00BD1AFD" w:rsidRDefault="00BD1AFD" w:rsidP="00BD1AFD">
            <w:pPr>
              <w:widowControl/>
              <w:suppressAutoHyphens w:val="0"/>
              <w:spacing w:after="150"/>
              <w:jc w:val="center"/>
              <w:rPr>
                <w:szCs w:val="24"/>
              </w:rPr>
            </w:pPr>
            <w:r w:rsidRPr="00BD1AFD">
              <w:rPr>
                <w:szCs w:val="24"/>
              </w:rPr>
              <w:t>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D1AFD" w:rsidRPr="00BD1AFD" w:rsidRDefault="00BD1AFD" w:rsidP="00BD1AFD">
            <w:pPr>
              <w:widowControl/>
              <w:suppressAutoHyphens w:val="0"/>
              <w:spacing w:after="150"/>
              <w:jc w:val="center"/>
              <w:rPr>
                <w:szCs w:val="24"/>
              </w:rPr>
            </w:pPr>
            <w:r w:rsidRPr="00BD1AFD">
              <w:rPr>
                <w:szCs w:val="24"/>
              </w:rPr>
              <w:t>Военнослужащие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D1AFD" w:rsidRPr="00BD1AFD" w:rsidRDefault="00BD1AFD" w:rsidP="00BD1AFD">
            <w:pPr>
              <w:widowControl/>
              <w:suppressAutoHyphens w:val="0"/>
              <w:spacing w:after="150"/>
              <w:jc w:val="center"/>
              <w:rPr>
                <w:szCs w:val="24"/>
              </w:rPr>
            </w:pPr>
            <w:r w:rsidRPr="00BD1AFD">
              <w:rPr>
                <w:szCs w:val="24"/>
              </w:rPr>
              <w:t>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D1AFD" w:rsidRPr="00BD1AFD" w:rsidRDefault="00BD1AFD" w:rsidP="00BD1AFD">
            <w:pPr>
              <w:widowControl/>
              <w:suppressAutoHyphens w:val="0"/>
              <w:spacing w:after="150"/>
              <w:jc w:val="center"/>
              <w:rPr>
                <w:szCs w:val="24"/>
              </w:rPr>
            </w:pPr>
            <w:r w:rsidRPr="00BD1AFD">
              <w:rPr>
                <w:szCs w:val="24"/>
              </w:rPr>
              <w:t>-</w:t>
            </w:r>
          </w:p>
        </w:tc>
      </w:tr>
    </w:tbl>
    <w:p w:rsidR="00BD1AFD" w:rsidRPr="00BD1AFD" w:rsidRDefault="00BD1AFD" w:rsidP="00BD1AFD">
      <w:pPr>
        <w:widowControl/>
        <w:shd w:val="clear" w:color="auto" w:fill="FFFFFF"/>
        <w:suppressAutoHyphens w:val="0"/>
        <w:spacing w:after="150"/>
        <w:jc w:val="both"/>
        <w:rPr>
          <w:szCs w:val="24"/>
        </w:rPr>
      </w:pPr>
      <w:r w:rsidRPr="00BD1AFD">
        <w:rPr>
          <w:b/>
          <w:bCs/>
          <w:color w:val="483B3F"/>
          <w:szCs w:val="24"/>
        </w:rPr>
        <w:t>Персональные сведения о захороненных</w:t>
      </w:r>
      <w:r w:rsidRPr="00BD1AFD">
        <w:rPr>
          <w:color w:val="483B3F"/>
          <w:szCs w:val="24"/>
        </w:rPr>
        <w:t>: </w:t>
      </w:r>
      <w:hyperlink r:id="rId7" w:tgtFrame="_blank" w:tooltip="Список захороненных воинов в братской могиле д. Носовка людиновского района" w:history="1">
        <w:r w:rsidRPr="00BD1AFD">
          <w:rPr>
            <w:szCs w:val="24"/>
          </w:rPr>
          <w:t>Список захороненных воинов в братской могиле д. Носовка Людиновского района</w:t>
        </w:r>
      </w:hyperlink>
    </w:p>
    <w:p w:rsidR="00BD1AFD" w:rsidRPr="00BD1AFD" w:rsidRDefault="00BD1AFD" w:rsidP="00BD1AFD">
      <w:pPr>
        <w:widowControl/>
        <w:shd w:val="clear" w:color="auto" w:fill="FFFFFF"/>
        <w:suppressAutoHyphens w:val="0"/>
        <w:spacing w:after="150"/>
        <w:jc w:val="both"/>
        <w:rPr>
          <w:color w:val="483B3F"/>
          <w:szCs w:val="24"/>
        </w:rPr>
      </w:pPr>
      <w:r w:rsidRPr="00BD1AFD">
        <w:rPr>
          <w:b/>
          <w:bCs/>
          <w:color w:val="483B3F"/>
          <w:szCs w:val="24"/>
        </w:rPr>
        <w:t>Кто шефствует над захоронением</w:t>
      </w:r>
      <w:r w:rsidRPr="00BD1AFD">
        <w:rPr>
          <w:color w:val="483B3F"/>
          <w:szCs w:val="24"/>
        </w:rPr>
        <w:t>:</w:t>
      </w:r>
      <w:r w:rsidR="004E6785" w:rsidRPr="00BD1AFD">
        <w:rPr>
          <w:szCs w:val="24"/>
        </w:rPr>
        <w:t xml:space="preserve"> </w:t>
      </w:r>
      <w:hyperlink r:id="rId8" w:tgtFrame="_blank" w:history="1">
        <w:r w:rsidRPr="00BD1AFD">
          <w:rPr>
            <w:szCs w:val="24"/>
          </w:rPr>
          <w:t>ОАО «Людиновский тепловозостроительный завод»</w:t>
        </w:r>
      </w:hyperlink>
      <w:r w:rsidRPr="00BD1AFD">
        <w:rPr>
          <w:color w:val="483B3F"/>
          <w:szCs w:val="24"/>
        </w:rPr>
        <w:t>, МКОУ «Игнатовс</w:t>
      </w:r>
      <w:r w:rsidR="004E6785">
        <w:rPr>
          <w:color w:val="483B3F"/>
          <w:szCs w:val="24"/>
        </w:rPr>
        <w:t>кая основная</w:t>
      </w:r>
      <w:r w:rsidRPr="00BD1AFD">
        <w:rPr>
          <w:color w:val="483B3F"/>
          <w:szCs w:val="24"/>
        </w:rPr>
        <w:t xml:space="preserve"> школа</w:t>
      </w:r>
      <w:r w:rsidR="004E6785">
        <w:rPr>
          <w:color w:val="483B3F"/>
          <w:szCs w:val="24"/>
        </w:rPr>
        <w:t xml:space="preserve"> им. И.Ф. Акимочкина</w:t>
      </w:r>
      <w:r w:rsidRPr="00BD1AFD">
        <w:rPr>
          <w:color w:val="483B3F"/>
          <w:szCs w:val="24"/>
        </w:rPr>
        <w:t>».</w:t>
      </w:r>
    </w:p>
    <w:p w:rsidR="00BD1AFD" w:rsidRPr="00BD1AFD" w:rsidRDefault="00BD1AFD" w:rsidP="00BD1AFD">
      <w:pPr>
        <w:widowControl/>
        <w:shd w:val="clear" w:color="auto" w:fill="FFFFFF"/>
        <w:suppressAutoHyphens w:val="0"/>
        <w:spacing w:after="150"/>
        <w:jc w:val="both"/>
        <w:rPr>
          <w:color w:val="483B3F"/>
          <w:szCs w:val="24"/>
        </w:rPr>
      </w:pPr>
      <w:r w:rsidRPr="00BD1AFD">
        <w:rPr>
          <w:b/>
          <w:bCs/>
          <w:color w:val="483B3F"/>
          <w:szCs w:val="24"/>
        </w:rPr>
        <w:t>Дополнительная информация о захоронении</w:t>
      </w:r>
      <w:r w:rsidRPr="00BD1AFD">
        <w:rPr>
          <w:color w:val="483B3F"/>
          <w:szCs w:val="24"/>
        </w:rPr>
        <w:t>:  Могила возникла в 1977 году, когда здесь были похоронены останки советских воинов, перенесённые сюда из одиночных и небольших братских могил в Носовке и Шупиловке.</w:t>
      </w:r>
    </w:p>
    <w:p w:rsidR="00BD1AFD" w:rsidRPr="00BD1AFD" w:rsidRDefault="00BD1AFD" w:rsidP="00BD1AFD">
      <w:pPr>
        <w:widowControl/>
        <w:shd w:val="clear" w:color="auto" w:fill="FFFFFF"/>
        <w:suppressAutoHyphens w:val="0"/>
        <w:spacing w:after="150"/>
        <w:jc w:val="both"/>
        <w:rPr>
          <w:color w:val="483B3F"/>
          <w:szCs w:val="24"/>
        </w:rPr>
      </w:pPr>
      <w:r w:rsidRPr="00BD1AFD">
        <w:rPr>
          <w:b/>
          <w:bCs/>
          <w:color w:val="483B3F"/>
          <w:szCs w:val="24"/>
        </w:rPr>
        <w:t>Координаты навигации</w:t>
      </w:r>
      <w:r w:rsidRPr="00BD1AFD">
        <w:rPr>
          <w:color w:val="483B3F"/>
          <w:szCs w:val="24"/>
        </w:rPr>
        <w:t>: 53°58.342´</w:t>
      </w:r>
    </w:p>
    <w:p w:rsidR="00BD1AFD" w:rsidRPr="00BD1AFD" w:rsidRDefault="00BD1AFD" w:rsidP="00BD1AFD">
      <w:pPr>
        <w:widowControl/>
        <w:shd w:val="clear" w:color="auto" w:fill="FFFFFF"/>
        <w:suppressAutoHyphens w:val="0"/>
        <w:spacing w:after="150"/>
        <w:jc w:val="both"/>
        <w:rPr>
          <w:color w:val="483B3F"/>
          <w:szCs w:val="24"/>
        </w:rPr>
      </w:pPr>
      <w:r w:rsidRPr="00BD1AFD">
        <w:rPr>
          <w:color w:val="483B3F"/>
          <w:szCs w:val="24"/>
        </w:rPr>
        <w:t>                                   </w:t>
      </w:r>
      <w:r w:rsidR="009F7AC3">
        <w:rPr>
          <w:color w:val="483B3F"/>
          <w:szCs w:val="24"/>
        </w:rPr>
        <w:t xml:space="preserve">     </w:t>
      </w:r>
      <w:r w:rsidRPr="00BD1AFD">
        <w:rPr>
          <w:color w:val="483B3F"/>
          <w:szCs w:val="24"/>
        </w:rPr>
        <w:t xml:space="preserve">     34°30.519´</w:t>
      </w:r>
    </w:p>
    <w:p w:rsidR="004E6785" w:rsidRDefault="004E6785" w:rsidP="00BD1AFD">
      <w:pPr>
        <w:widowControl/>
        <w:shd w:val="clear" w:color="auto" w:fill="FFFFFF"/>
        <w:suppressAutoHyphens w:val="0"/>
        <w:spacing w:after="150"/>
        <w:jc w:val="both"/>
        <w:rPr>
          <w:b/>
          <w:bCs/>
          <w:color w:val="483B3F"/>
          <w:szCs w:val="24"/>
        </w:rPr>
      </w:pPr>
    </w:p>
    <w:p w:rsidR="004E6785" w:rsidRDefault="004E6785" w:rsidP="00BD1AFD">
      <w:pPr>
        <w:widowControl/>
        <w:shd w:val="clear" w:color="auto" w:fill="FFFFFF"/>
        <w:suppressAutoHyphens w:val="0"/>
        <w:spacing w:after="150"/>
        <w:jc w:val="both"/>
        <w:rPr>
          <w:b/>
          <w:bCs/>
          <w:color w:val="483B3F"/>
          <w:szCs w:val="24"/>
        </w:rPr>
      </w:pPr>
    </w:p>
    <w:p w:rsidR="004E6785" w:rsidRDefault="004E6785" w:rsidP="00BD1AFD">
      <w:pPr>
        <w:widowControl/>
        <w:shd w:val="clear" w:color="auto" w:fill="FFFFFF"/>
        <w:suppressAutoHyphens w:val="0"/>
        <w:spacing w:after="150"/>
        <w:jc w:val="both"/>
        <w:rPr>
          <w:b/>
          <w:bCs/>
          <w:color w:val="483B3F"/>
          <w:szCs w:val="24"/>
        </w:rPr>
      </w:pPr>
    </w:p>
    <w:p w:rsidR="004E6785" w:rsidRDefault="004E6785" w:rsidP="00BD1AFD">
      <w:pPr>
        <w:widowControl/>
        <w:shd w:val="clear" w:color="auto" w:fill="FFFFFF"/>
        <w:suppressAutoHyphens w:val="0"/>
        <w:spacing w:after="150"/>
        <w:jc w:val="both"/>
        <w:rPr>
          <w:b/>
          <w:bCs/>
          <w:color w:val="483B3F"/>
          <w:szCs w:val="24"/>
        </w:rPr>
      </w:pPr>
    </w:p>
    <w:p w:rsidR="00BD1AFD" w:rsidRPr="00BD1AFD" w:rsidRDefault="00BD1AFD" w:rsidP="00BD1AFD">
      <w:pPr>
        <w:widowControl/>
        <w:shd w:val="clear" w:color="auto" w:fill="FFFFFF"/>
        <w:suppressAutoHyphens w:val="0"/>
        <w:spacing w:after="150"/>
        <w:jc w:val="both"/>
        <w:rPr>
          <w:color w:val="483B3F"/>
          <w:szCs w:val="24"/>
        </w:rPr>
      </w:pPr>
      <w:r w:rsidRPr="00BD1AFD">
        <w:rPr>
          <w:b/>
          <w:bCs/>
          <w:color w:val="483B3F"/>
          <w:szCs w:val="24"/>
        </w:rPr>
        <w:lastRenderedPageBreak/>
        <w:t>Схема расположения захоронения</w:t>
      </w:r>
    </w:p>
    <w:p w:rsidR="00BD1AFD" w:rsidRPr="00BD1AFD" w:rsidRDefault="00BD1AFD" w:rsidP="00BD1AFD">
      <w:pPr>
        <w:widowControl/>
        <w:shd w:val="clear" w:color="auto" w:fill="FFFFFF"/>
        <w:suppressAutoHyphens w:val="0"/>
        <w:spacing w:after="150"/>
        <w:rPr>
          <w:color w:val="483B3F"/>
          <w:szCs w:val="24"/>
        </w:rPr>
      </w:pPr>
      <w:r w:rsidRPr="00BD1AFD">
        <w:rPr>
          <w:b/>
          <w:bCs/>
          <w:noProof/>
          <w:color w:val="B90000"/>
          <w:szCs w:val="24"/>
        </w:rPr>
        <w:drawing>
          <wp:inline distT="0" distB="0" distL="0" distR="0">
            <wp:extent cx="2857500" cy="3209925"/>
            <wp:effectExtent l="19050" t="0" r="0" b="0"/>
            <wp:docPr id="2" name="Рисунок 2" descr="Братская могила. Деревня Носовка">
              <a:hlinkClick xmlns:a="http://schemas.openxmlformats.org/drawingml/2006/main" r:id="rId9" tooltip="&quot;Братская могила. Деревня Носов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ратская могила. Деревня Носовка">
                      <a:hlinkClick r:id="rId9" tooltip="&quot;Братская могила. Деревня Носовка&quot;"/>
                    </pic:cNvPr>
                    <pic:cNvPicPr>
                      <a:picLocks noChangeAspect="1" noChangeArrowheads="1"/>
                    </pic:cNvPicPr>
                  </pic:nvPicPr>
                  <pic:blipFill>
                    <a:blip r:embed="rId10" cstate="print"/>
                    <a:srcRect/>
                    <a:stretch>
                      <a:fillRect/>
                    </a:stretch>
                  </pic:blipFill>
                  <pic:spPr bwMode="auto">
                    <a:xfrm>
                      <a:off x="0" y="0"/>
                      <a:ext cx="2857500" cy="3209925"/>
                    </a:xfrm>
                    <a:prstGeom prst="rect">
                      <a:avLst/>
                    </a:prstGeom>
                    <a:noFill/>
                    <a:ln w="9525">
                      <a:noFill/>
                      <a:miter lim="800000"/>
                      <a:headEnd/>
                      <a:tailEnd/>
                    </a:ln>
                  </pic:spPr>
                </pic:pic>
              </a:graphicData>
            </a:graphic>
          </wp:inline>
        </w:drawing>
      </w:r>
    </w:p>
    <w:p w:rsidR="009D1E2D" w:rsidRPr="00BD1AFD" w:rsidRDefault="009D1E2D">
      <w:pPr>
        <w:rPr>
          <w:szCs w:val="24"/>
        </w:rPr>
      </w:pPr>
    </w:p>
    <w:sectPr w:rsidR="009D1E2D" w:rsidRPr="00BD1AFD" w:rsidSect="009D1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1AFD"/>
    <w:rsid w:val="0046166E"/>
    <w:rsid w:val="004E6785"/>
    <w:rsid w:val="00553841"/>
    <w:rsid w:val="009D1E2D"/>
    <w:rsid w:val="009F7AC3"/>
    <w:rsid w:val="00BD1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6E"/>
    <w:pPr>
      <w:widowControl w:val="0"/>
      <w:suppressAutoHyphens/>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1AFD"/>
    <w:pPr>
      <w:widowControl/>
      <w:suppressAutoHyphens w:val="0"/>
      <w:spacing w:before="100" w:beforeAutospacing="1" w:after="100" w:afterAutospacing="1"/>
    </w:pPr>
    <w:rPr>
      <w:szCs w:val="24"/>
    </w:rPr>
  </w:style>
  <w:style w:type="character" w:styleId="a4">
    <w:name w:val="Strong"/>
    <w:basedOn w:val="a0"/>
    <w:uiPriority w:val="22"/>
    <w:qFormat/>
    <w:rsid w:val="00BD1AFD"/>
    <w:rPr>
      <w:b/>
      <w:bCs/>
    </w:rPr>
  </w:style>
  <w:style w:type="character" w:styleId="a5">
    <w:name w:val="Hyperlink"/>
    <w:basedOn w:val="a0"/>
    <w:uiPriority w:val="99"/>
    <w:semiHidden/>
    <w:unhideWhenUsed/>
    <w:rsid w:val="00BD1AFD"/>
    <w:rPr>
      <w:color w:val="0000FF"/>
      <w:u w:val="single"/>
    </w:rPr>
  </w:style>
  <w:style w:type="paragraph" w:styleId="a6">
    <w:name w:val="Balloon Text"/>
    <w:basedOn w:val="a"/>
    <w:link w:val="a7"/>
    <w:uiPriority w:val="99"/>
    <w:semiHidden/>
    <w:unhideWhenUsed/>
    <w:rsid w:val="00BD1AFD"/>
    <w:rPr>
      <w:rFonts w:ascii="Tahoma" w:hAnsi="Tahoma" w:cs="Tahoma"/>
      <w:sz w:val="16"/>
      <w:szCs w:val="16"/>
    </w:rPr>
  </w:style>
  <w:style w:type="character" w:customStyle="1" w:styleId="a7">
    <w:name w:val="Текст выноски Знак"/>
    <w:basedOn w:val="a0"/>
    <w:link w:val="a6"/>
    <w:uiPriority w:val="99"/>
    <w:semiHidden/>
    <w:rsid w:val="00BD1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117297">
      <w:bodyDiv w:val="1"/>
      <w:marLeft w:val="0"/>
      <w:marRight w:val="0"/>
      <w:marTop w:val="0"/>
      <w:marBottom w:val="0"/>
      <w:divBdr>
        <w:top w:val="none" w:sz="0" w:space="0" w:color="auto"/>
        <w:left w:val="none" w:sz="0" w:space="0" w:color="auto"/>
        <w:bottom w:val="none" w:sz="0" w:space="0" w:color="auto"/>
        <w:right w:val="none" w:sz="0" w:space="0" w:color="auto"/>
      </w:divBdr>
      <w:divsChild>
        <w:div w:id="1868104725">
          <w:marLeft w:val="0"/>
          <w:marRight w:val="0"/>
          <w:marTop w:val="0"/>
          <w:marBottom w:val="240"/>
          <w:divBdr>
            <w:top w:val="none" w:sz="0" w:space="0" w:color="auto"/>
            <w:left w:val="none" w:sz="0" w:space="0" w:color="auto"/>
            <w:bottom w:val="none" w:sz="0" w:space="0" w:color="auto"/>
            <w:right w:val="none" w:sz="0" w:space="0" w:color="auto"/>
          </w:divBdr>
        </w:div>
        <w:div w:id="1667395681">
          <w:marLeft w:val="0"/>
          <w:marRight w:val="0"/>
          <w:marTop w:val="0"/>
          <w:marBottom w:val="240"/>
          <w:divBdr>
            <w:top w:val="none" w:sz="0" w:space="0" w:color="auto"/>
            <w:left w:val="none" w:sz="0" w:space="0" w:color="auto"/>
            <w:bottom w:val="none" w:sz="0" w:space="0" w:color="auto"/>
            <w:right w:val="none" w:sz="0" w:space="0" w:color="auto"/>
          </w:divBdr>
          <w:divsChild>
            <w:div w:id="6513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dtz.ru/" TargetMode="External"/><Relationship Id="rId3" Type="http://schemas.openxmlformats.org/officeDocument/2006/relationships/webSettings" Target="webSettings.xml"/><Relationship Id="rId7" Type="http://schemas.openxmlformats.org/officeDocument/2006/relationships/hyperlink" Target="http://xn--80aefauqgljb4o.xn--p1ai/tinybrowser/images/pamyatnie_mesta/2017/01/zaxoroneniya/18_zahoroneniye_35.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1072;&#1076;&#1084;&#1083;&#1102;&#1076;&#1080;&#1085;&#1086;&#1074;&#1086;.&#1088;&#1092;/tinybrowser/fulls/images/pamyatnie_mesta/2017/01/69.jpg" TargetMode="External"/><Relationship Id="rId9" Type="http://schemas.openxmlformats.org/officeDocument/2006/relationships/hyperlink" Target="http://&#1072;&#1076;&#1084;&#1083;&#1102;&#1076;&#1080;&#1085;&#1086;&#1074;&#1086;.&#1088;&#1092;/tinybrowser/fulls/images/pamyatnie_mesta/2017/01/7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ignatovka</dc:creator>
  <cp:lastModifiedBy>ignatovka</cp:lastModifiedBy>
  <cp:revision>3</cp:revision>
  <dcterms:created xsi:type="dcterms:W3CDTF">2022-03-23T08:41:00Z</dcterms:created>
  <dcterms:modified xsi:type="dcterms:W3CDTF">2022-03-23T09:01:00Z</dcterms:modified>
</cp:coreProperties>
</file>